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C4" w:rsidRPr="003E549F" w:rsidRDefault="00AA2969">
      <w:pPr>
        <w:rPr>
          <w:b/>
        </w:rPr>
      </w:pPr>
      <w:r w:rsidRPr="003E549F">
        <w:rPr>
          <w:b/>
        </w:rPr>
        <w:t>OPERAZIONI DI CHIUSURA DELL’ESERCIZIO FINANZIARIO</w:t>
      </w:r>
    </w:p>
    <w:p w:rsidR="00F6494F" w:rsidRPr="003E549F" w:rsidRDefault="00F6494F">
      <w:pPr>
        <w:rPr>
          <w:b/>
        </w:rPr>
      </w:pPr>
      <w:r w:rsidRPr="003E549F">
        <w:rPr>
          <w:b/>
        </w:rPr>
        <w:t>CASSA E GESTIONE PA19</w:t>
      </w:r>
    </w:p>
    <w:p w:rsidR="00D81253" w:rsidRPr="003E549F" w:rsidRDefault="00866B57" w:rsidP="00D81253">
      <w:pPr>
        <w:pStyle w:val="Paragrafoelenco"/>
        <w:numPr>
          <w:ilvl w:val="0"/>
          <w:numId w:val="1"/>
        </w:numPr>
      </w:pPr>
      <w:r w:rsidRPr="003E549F">
        <w:t>Verifica sospesi in entrata e in uscita banca cassiera e loro regolarizzazione</w:t>
      </w:r>
      <w:r w:rsidR="00D81253" w:rsidRPr="003E549F">
        <w:t>: non devono risultare operazioni in sospeso</w:t>
      </w:r>
    </w:p>
    <w:p w:rsidR="00866B57" w:rsidRPr="003E549F" w:rsidRDefault="00866B57" w:rsidP="00AA2969">
      <w:pPr>
        <w:pStyle w:val="Paragrafoelenco"/>
        <w:numPr>
          <w:ilvl w:val="0"/>
          <w:numId w:val="1"/>
        </w:numPr>
      </w:pPr>
      <w:r w:rsidRPr="003E549F">
        <w:t xml:space="preserve">Verifica KO </w:t>
      </w:r>
      <w:r w:rsidR="00154D0A" w:rsidRPr="003E549F">
        <w:t xml:space="preserve">(operazioni non andate a buon fine) </w:t>
      </w:r>
      <w:r w:rsidRPr="003E549F">
        <w:t>back office banca cassiera ed eventuale regolarizzazione</w:t>
      </w:r>
    </w:p>
    <w:p w:rsidR="00154D0A" w:rsidRPr="003E549F" w:rsidRDefault="00154D0A" w:rsidP="00AA2969">
      <w:pPr>
        <w:pStyle w:val="Paragrafoelenco"/>
        <w:numPr>
          <w:ilvl w:val="0"/>
          <w:numId w:val="1"/>
        </w:numPr>
      </w:pPr>
      <w:r w:rsidRPr="003E549F">
        <w:t xml:space="preserve">Importazione flussi da </w:t>
      </w:r>
      <w:proofErr w:type="spellStart"/>
      <w:r w:rsidRPr="003E549F">
        <w:t>Tesoweb</w:t>
      </w:r>
      <w:proofErr w:type="spellEnd"/>
      <w:r w:rsidRPr="003E549F">
        <w:t xml:space="preserve"> (giornale di cassa e risultati operazioni)</w:t>
      </w:r>
    </w:p>
    <w:p w:rsidR="00EF69EE" w:rsidRPr="003E549F" w:rsidRDefault="00EF69EE" w:rsidP="00EF69EE">
      <w:pPr>
        <w:pStyle w:val="Paragrafoelenco"/>
        <w:numPr>
          <w:ilvl w:val="0"/>
          <w:numId w:val="1"/>
        </w:numPr>
      </w:pPr>
      <w:r w:rsidRPr="003E549F">
        <w:t>Chiusura fondo delle minute spese</w:t>
      </w:r>
    </w:p>
    <w:p w:rsidR="00EF69EE" w:rsidRPr="003E549F" w:rsidRDefault="00EF69EE" w:rsidP="00EF69EE">
      <w:pPr>
        <w:pStyle w:val="Paragrafoelenco"/>
        <w:numPr>
          <w:ilvl w:val="0"/>
          <w:numId w:val="1"/>
        </w:numPr>
      </w:pPr>
      <w:r w:rsidRPr="003E549F">
        <w:t>Pagamento fatture in scadenza entro il termine indicato dalla banca cassiera</w:t>
      </w:r>
    </w:p>
    <w:p w:rsidR="00EF69EE" w:rsidRPr="003E549F" w:rsidRDefault="00EF69EE" w:rsidP="00EF69EE">
      <w:pPr>
        <w:pStyle w:val="Paragrafoelenco"/>
        <w:numPr>
          <w:ilvl w:val="0"/>
          <w:numId w:val="1"/>
        </w:numPr>
      </w:pPr>
      <w:r w:rsidRPr="003E549F">
        <w:t>Pagamento F24ep entro il termine di cui sopra</w:t>
      </w:r>
    </w:p>
    <w:p w:rsidR="00EF69EE" w:rsidRPr="003E549F" w:rsidRDefault="00EF69EE" w:rsidP="00EF69EE">
      <w:pPr>
        <w:pStyle w:val="Paragrafoelenco"/>
        <w:numPr>
          <w:ilvl w:val="0"/>
          <w:numId w:val="1"/>
        </w:numPr>
      </w:pPr>
      <w:r w:rsidRPr="003E549F">
        <w:t>Pagamento compenso a Banca Cassiera (risulta nei sospesi in uscita da regolarizzare</w:t>
      </w:r>
      <w:r w:rsidR="007F29E3">
        <w:t>)</w:t>
      </w:r>
      <w:r w:rsidRPr="003E549F">
        <w:t xml:space="preserve"> </w:t>
      </w:r>
    </w:p>
    <w:p w:rsidR="00EF69EE" w:rsidRPr="003E549F" w:rsidRDefault="00EF69EE" w:rsidP="00EF69EE">
      <w:pPr>
        <w:pStyle w:val="Paragrafoelenco"/>
        <w:numPr>
          <w:ilvl w:val="0"/>
          <w:numId w:val="1"/>
        </w:numPr>
      </w:pPr>
      <w:r w:rsidRPr="003E549F">
        <w:t>Stampa risultanze banca cassiera al 31/12/2019</w:t>
      </w:r>
    </w:p>
    <w:p w:rsidR="00EF69EE" w:rsidRPr="003E549F" w:rsidRDefault="00EF69EE" w:rsidP="00EF69EE">
      <w:pPr>
        <w:pStyle w:val="Paragrafoelenco"/>
        <w:numPr>
          <w:ilvl w:val="0"/>
          <w:numId w:val="1"/>
        </w:numPr>
      </w:pPr>
      <w:r w:rsidRPr="003E549F">
        <w:t>Stampa modello 56T BANCA D’ITALIA</w:t>
      </w:r>
    </w:p>
    <w:p w:rsidR="00EF69EE" w:rsidRPr="003E549F" w:rsidRDefault="00EF69EE" w:rsidP="00EF69EE">
      <w:pPr>
        <w:pStyle w:val="Paragrafoelenco"/>
        <w:numPr>
          <w:ilvl w:val="0"/>
          <w:numId w:val="1"/>
        </w:numPr>
      </w:pPr>
      <w:r w:rsidRPr="003E549F">
        <w:t>Stampa giornale di cassa al 31/12/2019</w:t>
      </w:r>
    </w:p>
    <w:p w:rsidR="00AA2969" w:rsidRPr="003E549F" w:rsidRDefault="00AA2969" w:rsidP="00AA2969">
      <w:pPr>
        <w:pStyle w:val="Paragrafoelenco"/>
        <w:numPr>
          <w:ilvl w:val="0"/>
          <w:numId w:val="1"/>
        </w:numPr>
      </w:pPr>
      <w:r w:rsidRPr="003E549F">
        <w:t xml:space="preserve">Non devono risultare discordanze </w:t>
      </w:r>
    </w:p>
    <w:p w:rsidR="00AA2969" w:rsidRPr="003E549F" w:rsidRDefault="00AA2969" w:rsidP="00AA2969">
      <w:pPr>
        <w:pStyle w:val="Paragrafoelenco"/>
        <w:numPr>
          <w:ilvl w:val="0"/>
          <w:numId w:val="1"/>
        </w:numPr>
      </w:pPr>
      <w:r w:rsidRPr="003E549F">
        <w:t xml:space="preserve">registro minute spese </w:t>
      </w:r>
    </w:p>
    <w:p w:rsidR="00F6494F" w:rsidRPr="003E549F" w:rsidRDefault="00F6494F" w:rsidP="00AA2969">
      <w:pPr>
        <w:pStyle w:val="Paragrafoelenco"/>
        <w:numPr>
          <w:ilvl w:val="0"/>
          <w:numId w:val="1"/>
        </w:numPr>
      </w:pPr>
      <w:r w:rsidRPr="003E549F">
        <w:t>Una volta effettuate tutte le operazioni di pagamento e di introito, verificare assestamento voci di bilancio</w:t>
      </w:r>
    </w:p>
    <w:p w:rsidR="00F6494F" w:rsidRPr="003E549F" w:rsidRDefault="00F6494F" w:rsidP="00AA2969">
      <w:pPr>
        <w:pStyle w:val="Paragrafoelenco"/>
        <w:numPr>
          <w:ilvl w:val="0"/>
          <w:numId w:val="1"/>
        </w:numPr>
      </w:pPr>
      <w:r w:rsidRPr="003E549F">
        <w:t>elenco variazioni annuali</w:t>
      </w:r>
      <w:r w:rsidR="00D81253" w:rsidRPr="003E549F">
        <w:t>/storni (raccolta digitale o cartacea, con relative delibere del CDI)</w:t>
      </w:r>
    </w:p>
    <w:p w:rsidR="008A3935" w:rsidRPr="003E549F" w:rsidRDefault="008A3935" w:rsidP="008A3935">
      <w:pPr>
        <w:pStyle w:val="Paragrafoelenco"/>
        <w:numPr>
          <w:ilvl w:val="0"/>
          <w:numId w:val="1"/>
        </w:numPr>
      </w:pPr>
      <w:r w:rsidRPr="003E549F">
        <w:t>elenco radiazioni RA/RP (raccolta digitale o cartacea, con relative delibere del CDI)</w:t>
      </w:r>
    </w:p>
    <w:p w:rsidR="001A7B35" w:rsidRPr="003E549F" w:rsidRDefault="001A7B35" w:rsidP="00AA2969">
      <w:pPr>
        <w:pStyle w:val="Paragrafoelenco"/>
        <w:numPr>
          <w:ilvl w:val="0"/>
          <w:numId w:val="1"/>
        </w:numPr>
      </w:pPr>
      <w:r w:rsidRPr="003E549F">
        <w:t>Verifica impegni/accertamenti</w:t>
      </w:r>
    </w:p>
    <w:p w:rsidR="00F6494F" w:rsidRPr="003E549F" w:rsidRDefault="00F6494F" w:rsidP="00AA2969">
      <w:pPr>
        <w:pStyle w:val="Paragrafoelenco"/>
        <w:numPr>
          <w:ilvl w:val="0"/>
          <w:numId w:val="1"/>
        </w:numPr>
      </w:pPr>
      <w:r w:rsidRPr="003E549F">
        <w:t>Verifica economie al 31/12/2019</w:t>
      </w:r>
    </w:p>
    <w:p w:rsidR="00F6494F" w:rsidRPr="003E549F" w:rsidRDefault="00F6494F" w:rsidP="00AA2969">
      <w:pPr>
        <w:pStyle w:val="Paragrafoelenco"/>
        <w:numPr>
          <w:ilvl w:val="0"/>
          <w:numId w:val="1"/>
        </w:numPr>
      </w:pPr>
      <w:r w:rsidRPr="003E549F">
        <w:t>modello J CC19 al 31/12/2019</w:t>
      </w:r>
    </w:p>
    <w:p w:rsidR="00F6494F" w:rsidRPr="003E549F" w:rsidRDefault="001A7B35" w:rsidP="00AA2969">
      <w:pPr>
        <w:pStyle w:val="Paragrafoelenco"/>
        <w:numPr>
          <w:ilvl w:val="0"/>
          <w:numId w:val="1"/>
        </w:numPr>
      </w:pPr>
      <w:r w:rsidRPr="003E549F">
        <w:t>modell</w:t>
      </w:r>
      <w:r w:rsidR="008A3935" w:rsidRPr="003E549F">
        <w:t>o</w:t>
      </w:r>
      <w:r w:rsidRPr="003E549F">
        <w:t xml:space="preserve"> I CC19</w:t>
      </w:r>
      <w:r w:rsidR="008A3935" w:rsidRPr="003E549F">
        <w:t xml:space="preserve"> al 31/12/2019</w:t>
      </w:r>
    </w:p>
    <w:p w:rsidR="00B26F70" w:rsidRPr="003E549F" w:rsidRDefault="00B26F70" w:rsidP="00AA2969">
      <w:pPr>
        <w:pStyle w:val="Paragrafoelenco"/>
        <w:numPr>
          <w:ilvl w:val="0"/>
          <w:numId w:val="1"/>
        </w:numPr>
      </w:pPr>
      <w:r w:rsidRPr="003E549F">
        <w:t>partitari entrata e spese/conto competenza e conto residui</w:t>
      </w:r>
    </w:p>
    <w:p w:rsidR="000B700E" w:rsidRPr="003E549F" w:rsidRDefault="000B700E" w:rsidP="00AA2969">
      <w:pPr>
        <w:pStyle w:val="Paragrafoelenco"/>
        <w:numPr>
          <w:ilvl w:val="0"/>
          <w:numId w:val="1"/>
        </w:numPr>
      </w:pPr>
      <w:r w:rsidRPr="003E549F">
        <w:t>Verifica RA e RP</w:t>
      </w:r>
    </w:p>
    <w:p w:rsidR="001A7B35" w:rsidRPr="003E549F" w:rsidRDefault="001A7B35" w:rsidP="00AA2969">
      <w:pPr>
        <w:pStyle w:val="Paragrafoelenco"/>
        <w:numPr>
          <w:ilvl w:val="0"/>
          <w:numId w:val="1"/>
        </w:numPr>
      </w:pPr>
      <w:r w:rsidRPr="003E549F">
        <w:t xml:space="preserve">Chiusura </w:t>
      </w:r>
      <w:r w:rsidR="000B700E" w:rsidRPr="003E549F">
        <w:t xml:space="preserve">e stampa </w:t>
      </w:r>
      <w:r w:rsidRPr="003E549F">
        <w:t xml:space="preserve">scritture </w:t>
      </w:r>
      <w:proofErr w:type="spellStart"/>
      <w:r w:rsidRPr="003E549F">
        <w:t>ccp</w:t>
      </w:r>
      <w:proofErr w:type="spellEnd"/>
      <w:r w:rsidRPr="003E549F">
        <w:t>, verifica della riconciliazione con estratto conto posta</w:t>
      </w:r>
    </w:p>
    <w:p w:rsidR="0084383E" w:rsidRPr="003E549F" w:rsidRDefault="0084383E" w:rsidP="00AA2969">
      <w:pPr>
        <w:pStyle w:val="Paragrafoelenco"/>
        <w:numPr>
          <w:ilvl w:val="0"/>
          <w:numId w:val="1"/>
        </w:numPr>
      </w:pPr>
      <w:r w:rsidRPr="003E549F">
        <w:t xml:space="preserve">Predisposizione dati per adempimento AVCP </w:t>
      </w:r>
      <w:r w:rsidR="00F063C2">
        <w:t xml:space="preserve">scadenza </w:t>
      </w:r>
      <w:r w:rsidRPr="003E549F">
        <w:t>31/01/2020</w:t>
      </w:r>
    </w:p>
    <w:p w:rsidR="000B700E" w:rsidRPr="003E549F" w:rsidRDefault="000B700E" w:rsidP="000B700E">
      <w:pPr>
        <w:pStyle w:val="Paragrafoelenco"/>
      </w:pPr>
    </w:p>
    <w:p w:rsidR="000B700E" w:rsidRPr="003E549F" w:rsidRDefault="000B700E" w:rsidP="000B700E">
      <w:pPr>
        <w:rPr>
          <w:b/>
        </w:rPr>
      </w:pPr>
      <w:r w:rsidRPr="003E549F">
        <w:rPr>
          <w:b/>
        </w:rPr>
        <w:t>PATRIMONIO</w:t>
      </w:r>
    </w:p>
    <w:p w:rsidR="000B700E" w:rsidRPr="003E549F" w:rsidRDefault="007E5F3D" w:rsidP="002E16F0">
      <w:pPr>
        <w:pStyle w:val="Paragrafoelenco"/>
        <w:numPr>
          <w:ilvl w:val="0"/>
          <w:numId w:val="2"/>
        </w:numPr>
      </w:pPr>
      <w:r w:rsidRPr="003E549F">
        <w:t>Ricognizione inventariale: v</w:t>
      </w:r>
      <w:r w:rsidR="000B700E" w:rsidRPr="003E549F">
        <w:t>erifica caric</w:t>
      </w:r>
      <w:r w:rsidR="00287C77">
        <w:t>o/discarico</w:t>
      </w:r>
      <w:r w:rsidR="000B700E" w:rsidRPr="003E549F">
        <w:t xml:space="preserve"> </w:t>
      </w:r>
      <w:r w:rsidR="00287C77">
        <w:t>inventariale</w:t>
      </w:r>
      <w:r w:rsidR="004E6774" w:rsidRPr="003E549F">
        <w:t xml:space="preserve"> </w:t>
      </w:r>
      <w:r w:rsidR="000B700E" w:rsidRPr="003E549F">
        <w:t>EF 2019</w:t>
      </w:r>
    </w:p>
    <w:p w:rsidR="000B700E" w:rsidRPr="003E549F" w:rsidRDefault="000B700E" w:rsidP="000B700E">
      <w:pPr>
        <w:pStyle w:val="Paragrafoelenco"/>
        <w:numPr>
          <w:ilvl w:val="0"/>
          <w:numId w:val="2"/>
        </w:numPr>
      </w:pPr>
      <w:r w:rsidRPr="003E549F">
        <w:t>Verifica consistenza e stampa inventario generale</w:t>
      </w:r>
    </w:p>
    <w:p w:rsidR="000B700E" w:rsidRPr="003E549F" w:rsidRDefault="000B700E" w:rsidP="00086E78">
      <w:pPr>
        <w:pStyle w:val="Paragrafoelenco"/>
        <w:numPr>
          <w:ilvl w:val="0"/>
          <w:numId w:val="2"/>
        </w:numPr>
      </w:pPr>
      <w:r w:rsidRPr="003E549F">
        <w:t>Giornale di magazzino al 31/12/2019</w:t>
      </w:r>
    </w:p>
    <w:p w:rsidR="00805029" w:rsidRPr="003E549F" w:rsidRDefault="00805029" w:rsidP="00805029">
      <w:pPr>
        <w:rPr>
          <w:b/>
        </w:rPr>
      </w:pPr>
      <w:r w:rsidRPr="003E549F">
        <w:rPr>
          <w:b/>
        </w:rPr>
        <w:t xml:space="preserve">SCRITTURE </w:t>
      </w:r>
      <w:r w:rsidR="00996E43" w:rsidRPr="003E549F">
        <w:rPr>
          <w:b/>
        </w:rPr>
        <w:t>CONTABILI</w:t>
      </w:r>
    </w:p>
    <w:p w:rsidR="00805029" w:rsidRPr="003E549F" w:rsidRDefault="00805029" w:rsidP="00805029">
      <w:pPr>
        <w:pStyle w:val="Paragrafoelenco"/>
        <w:numPr>
          <w:ilvl w:val="0"/>
          <w:numId w:val="3"/>
        </w:numPr>
      </w:pPr>
      <w:r w:rsidRPr="003E549F">
        <w:t>Registro de</w:t>
      </w:r>
      <w:r w:rsidR="008D6CAB" w:rsidRPr="003E549F">
        <w:t>lle supplenze (</w:t>
      </w:r>
      <w:r w:rsidRPr="003E549F">
        <w:t>contratti personale a tempo determinato</w:t>
      </w:r>
      <w:r w:rsidR="008D6CAB" w:rsidRPr="003E549F">
        <w:t>)</w:t>
      </w:r>
    </w:p>
    <w:p w:rsidR="00805029" w:rsidRPr="003E549F" w:rsidRDefault="00805029" w:rsidP="00805029">
      <w:pPr>
        <w:pStyle w:val="Paragrafoelenco"/>
        <w:numPr>
          <w:ilvl w:val="0"/>
          <w:numId w:val="3"/>
        </w:numPr>
      </w:pPr>
      <w:r w:rsidRPr="003E549F">
        <w:t xml:space="preserve">Registro dei contratti </w:t>
      </w:r>
      <w:r w:rsidR="00991C40" w:rsidRPr="003E549F">
        <w:t xml:space="preserve">prestazione d’opera intellettuale </w:t>
      </w:r>
      <w:r w:rsidR="001F76CA" w:rsidRPr="003E549F">
        <w:t>e relativa anagrafe delle prestazioni</w:t>
      </w:r>
    </w:p>
    <w:p w:rsidR="00805029" w:rsidRDefault="00805029" w:rsidP="00805029">
      <w:pPr>
        <w:pStyle w:val="Paragrafoelenco"/>
        <w:numPr>
          <w:ilvl w:val="0"/>
          <w:numId w:val="3"/>
        </w:numPr>
      </w:pPr>
      <w:r w:rsidRPr="003E549F">
        <w:t>Registro contratti forniture, servizi e lavori</w:t>
      </w:r>
    </w:p>
    <w:p w:rsidR="00482C73" w:rsidRPr="003E549F" w:rsidRDefault="00482C73" w:rsidP="00482C73">
      <w:pPr>
        <w:pStyle w:val="Paragrafoelenco"/>
      </w:pPr>
      <w:r>
        <w:t xml:space="preserve">Per il nuovo regolamento di contabilità il registro dei contratti non è più obbligatorio, ma </w:t>
      </w:r>
      <w:proofErr w:type="spellStart"/>
      <w:r>
        <w:t>p</w:t>
      </w:r>
      <w:r w:rsidR="00072BC8">
        <w:t>u</w:t>
      </w:r>
      <w:r>
        <w:t>o’</w:t>
      </w:r>
      <w:proofErr w:type="spellEnd"/>
      <w:r>
        <w:t xml:space="preserve"> essere utile in caso di verifiche in loco della Ragioneria dello Stato</w:t>
      </w:r>
    </w:p>
    <w:p w:rsidR="008A3935" w:rsidRPr="003E549F" w:rsidRDefault="00072BC8" w:rsidP="00805029">
      <w:pPr>
        <w:pStyle w:val="Paragrafoelenco"/>
        <w:numPr>
          <w:ilvl w:val="0"/>
          <w:numId w:val="3"/>
        </w:numPr>
      </w:pPr>
      <w:r>
        <w:t>R</w:t>
      </w:r>
      <w:r w:rsidR="008A3935" w:rsidRPr="003E549F">
        <w:t>egistro fatture</w:t>
      </w:r>
    </w:p>
    <w:p w:rsidR="00805029" w:rsidRPr="003E549F" w:rsidRDefault="00805029" w:rsidP="00805029">
      <w:pPr>
        <w:pStyle w:val="Paragrafoelenco"/>
        <w:numPr>
          <w:ilvl w:val="0"/>
          <w:numId w:val="3"/>
        </w:numPr>
      </w:pPr>
      <w:r w:rsidRPr="003E549F">
        <w:t>PCC</w:t>
      </w:r>
      <w:r w:rsidR="00312A2B">
        <w:t>/MEF</w:t>
      </w:r>
      <w:r w:rsidR="00C91FFA" w:rsidRPr="003E549F">
        <w:t xml:space="preserve"> (trasmissione mensile)</w:t>
      </w:r>
    </w:p>
    <w:p w:rsidR="00805029" w:rsidRPr="003E549F" w:rsidRDefault="00805029" w:rsidP="00805029">
      <w:pPr>
        <w:pStyle w:val="Paragrafoelenco"/>
        <w:numPr>
          <w:ilvl w:val="0"/>
          <w:numId w:val="3"/>
        </w:numPr>
      </w:pPr>
      <w:r w:rsidRPr="003E549F">
        <w:t>Indici di pagamento: trimestrali e annuale</w:t>
      </w:r>
      <w:r w:rsidR="00C8124F" w:rsidRPr="003E549F">
        <w:t xml:space="preserve"> –</w:t>
      </w:r>
      <w:r w:rsidR="00E70F78" w:rsidRPr="003E549F">
        <w:t>pubblicazione</w:t>
      </w:r>
      <w:r w:rsidR="00C8124F" w:rsidRPr="003E549F">
        <w:t xml:space="preserve"> Amministrazione trasparente e scuola in chiaro</w:t>
      </w:r>
      <w:r w:rsidR="00C91FFA" w:rsidRPr="003E549F">
        <w:t xml:space="preserve"> (IV TRIMESTRE E ANNUALE ENTRO IL 15/01/2020)</w:t>
      </w:r>
    </w:p>
    <w:p w:rsidR="009D32F0" w:rsidRPr="003E549F" w:rsidRDefault="009D32F0" w:rsidP="0071750D">
      <w:pPr>
        <w:pStyle w:val="Paragrafoelenco"/>
        <w:numPr>
          <w:ilvl w:val="0"/>
          <w:numId w:val="3"/>
        </w:numPr>
      </w:pPr>
      <w:r w:rsidRPr="003E549F">
        <w:lastRenderedPageBreak/>
        <w:t>Assenza di situazioni debitorie</w:t>
      </w:r>
      <w:r w:rsidR="00E51336" w:rsidRPr="003E549F">
        <w:t xml:space="preserve"> ENTRO IL 30/04/2020</w:t>
      </w:r>
    </w:p>
    <w:p w:rsidR="00EE3CF5" w:rsidRPr="003E549F" w:rsidRDefault="00EE3CF5" w:rsidP="00EE3CF5">
      <w:pPr>
        <w:pStyle w:val="Paragrafoelenco"/>
        <w:rPr>
          <w:rFonts w:cs="Arial"/>
          <w:color w:val="444444"/>
          <w:sz w:val="17"/>
          <w:szCs w:val="17"/>
          <w:shd w:val="clear" w:color="auto" w:fill="FFFFFF"/>
        </w:rPr>
      </w:pPr>
      <w:r w:rsidRPr="003E549F">
        <w:rPr>
          <w:rFonts w:cs="Arial"/>
          <w:color w:val="444444"/>
          <w:sz w:val="17"/>
          <w:szCs w:val="17"/>
          <w:shd w:val="clear" w:color="auto" w:fill="FFFFFF"/>
        </w:rPr>
        <w:t>È disponibile sulla </w:t>
      </w:r>
      <w:hyperlink r:id="rId8" w:tgtFrame="_blank" w:history="1">
        <w:r w:rsidRPr="003E549F">
          <w:rPr>
            <w:rStyle w:val="Collegamentoipertestuale"/>
            <w:rFonts w:cs="Arial"/>
            <w:color w:val="236F91"/>
            <w:sz w:val="17"/>
            <w:szCs w:val="17"/>
            <w:bdr w:val="none" w:sz="0" w:space="0" w:color="auto" w:frame="1"/>
            <w:shd w:val="clear" w:color="auto" w:fill="FFFFFF"/>
          </w:rPr>
          <w:t>Piattaforma dei Crediti Commerciali</w:t>
        </w:r>
      </w:hyperlink>
      <w:r w:rsidRPr="003E549F">
        <w:rPr>
          <w:rFonts w:cs="Arial"/>
          <w:color w:val="444444"/>
          <w:sz w:val="17"/>
          <w:szCs w:val="17"/>
          <w:shd w:val="clear" w:color="auto" w:fill="FFFFFF"/>
        </w:rPr>
        <w:t> la funzione che consente alle Amministrazioni debitrici di effettuare la comunicazione di assenza delle posizioni debitorie con riferimento ai debiti certi, liquidi ed esigibili, maturati alla data del 31 dicembre 2017</w:t>
      </w:r>
      <w:r w:rsidR="00385431">
        <w:rPr>
          <w:rFonts w:cs="Arial"/>
          <w:color w:val="444444"/>
          <w:sz w:val="17"/>
          <w:szCs w:val="17"/>
          <w:shd w:val="clear" w:color="auto" w:fill="FFFFFF"/>
        </w:rPr>
        <w:t xml:space="preserve"> (ORA 2019)</w:t>
      </w:r>
      <w:r w:rsidRPr="003E549F">
        <w:rPr>
          <w:rFonts w:cs="Arial"/>
          <w:color w:val="444444"/>
          <w:sz w:val="17"/>
          <w:szCs w:val="17"/>
          <w:shd w:val="clear" w:color="auto" w:fill="FFFFFF"/>
        </w:rPr>
        <w:t xml:space="preserve">, in adempimento a quanto prescritto dall'art. 7, comma 4-bis del </w:t>
      </w:r>
      <w:proofErr w:type="spellStart"/>
      <w:r w:rsidRPr="003E549F">
        <w:rPr>
          <w:rFonts w:cs="Arial"/>
          <w:color w:val="444444"/>
          <w:sz w:val="17"/>
          <w:szCs w:val="17"/>
          <w:shd w:val="clear" w:color="auto" w:fill="FFFFFF"/>
        </w:rPr>
        <w:t>DL</w:t>
      </w:r>
      <w:proofErr w:type="spellEnd"/>
      <w:r w:rsidRPr="003E549F">
        <w:rPr>
          <w:rFonts w:cs="Arial"/>
          <w:color w:val="444444"/>
          <w:sz w:val="17"/>
          <w:szCs w:val="17"/>
          <w:shd w:val="clear" w:color="auto" w:fill="FFFFFF"/>
        </w:rPr>
        <w:t xml:space="preserve"> 35/2013.</w:t>
      </w:r>
    </w:p>
    <w:p w:rsidR="00F74D52" w:rsidRPr="003E549F" w:rsidRDefault="00F74D52" w:rsidP="00EE3CF5">
      <w:pPr>
        <w:pStyle w:val="Paragrafoelenco"/>
        <w:rPr>
          <w:rFonts w:cs="Arial"/>
          <w:color w:val="444444"/>
          <w:sz w:val="17"/>
          <w:szCs w:val="17"/>
          <w:shd w:val="clear" w:color="auto" w:fill="FFFFFF"/>
        </w:rPr>
      </w:pPr>
      <w:r w:rsidRPr="003E549F">
        <w:rPr>
          <w:rFonts w:cs="Arial"/>
          <w:color w:val="444444"/>
          <w:sz w:val="17"/>
          <w:szCs w:val="17"/>
          <w:shd w:val="clear" w:color="auto" w:fill="FFFFFF"/>
        </w:rPr>
        <w:t>menu "Ricognizione debiti &gt; Comunicazione di assenza di posizioni debitorie".</w:t>
      </w:r>
    </w:p>
    <w:p w:rsidR="00996651" w:rsidRPr="003E549F" w:rsidRDefault="00996651" w:rsidP="000C45B9">
      <w:pPr>
        <w:pStyle w:val="NormaleWeb"/>
        <w:shd w:val="clear" w:color="auto" w:fill="FFFFFF"/>
        <w:spacing w:before="225" w:beforeAutospacing="0" w:after="225" w:afterAutospacing="0"/>
        <w:ind w:firstLine="150"/>
        <w:jc w:val="both"/>
        <w:rPr>
          <w:rFonts w:asciiTheme="minorHAnsi" w:hAnsiTheme="minorHAnsi" w:cs="Arial"/>
          <w:color w:val="444444"/>
          <w:sz w:val="21"/>
          <w:szCs w:val="21"/>
        </w:rPr>
      </w:pPr>
      <w:r w:rsidRPr="003E549F">
        <w:rPr>
          <w:rFonts w:asciiTheme="minorHAnsi" w:hAnsiTheme="minorHAnsi" w:cs="Arial"/>
          <w:color w:val="444444"/>
          <w:sz w:val="21"/>
          <w:szCs w:val="21"/>
        </w:rPr>
        <w:t>In caso di inadempienza, si applica ai dirigenti responsabili la sanzione di cui al comma 2 (responsabilità dirigenziale e disciplinare, oltre ad una sanzione pecuniaria pari a 100 euro per ogni giorno di ritardo nella registrazione sulla piattaforma elettronica).</w:t>
      </w:r>
    </w:p>
    <w:p w:rsidR="00805029" w:rsidRPr="003E549F" w:rsidRDefault="009D32F0" w:rsidP="0071750D">
      <w:pPr>
        <w:pStyle w:val="Paragrafoelenco"/>
        <w:numPr>
          <w:ilvl w:val="0"/>
          <w:numId w:val="3"/>
        </w:numPr>
      </w:pPr>
      <w:r w:rsidRPr="003E549F">
        <w:t>Ammontare complessivo dello stock di debiti commerciali residui scaduti e non pagati alla fine dell'esercizio precedente di cui all'articolo 1, comma 867, della legge n. 145/2018</w:t>
      </w:r>
      <w:r w:rsidR="001F76CA" w:rsidRPr="003E549F">
        <w:t xml:space="preserve"> </w:t>
      </w:r>
      <w:r w:rsidR="00A724DD" w:rsidRPr="003E549F">
        <w:t>(ENTRO IL 3</w:t>
      </w:r>
      <w:r w:rsidR="00C026A1" w:rsidRPr="003E549F">
        <w:t>1/01/</w:t>
      </w:r>
      <w:r w:rsidR="00A724DD" w:rsidRPr="003E549F">
        <w:t>2020)</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A decorrere dal 2020, entro il 31  gennaio  di  ogni  anno  le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amministrazioni pubbliche di cui all'articolo 1, comma 2, della legge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31  dicembre  2009,  n.  196,  comunicano,  mediante  la  piattaforma</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elettronica di cui al comma 861, l'ammontare complessivo dello  stock</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di  debiti  commerciali  residui  scaduti  e  non  pagati  alla  fine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dell'esercizio  precedente.  Per  l'anno  2019  la  comunicazione  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effettuata dal 1° al 30  aprile  2019.  Per  le  amministrazioni  che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ordinano gli incassi e i pagamenti al proprio  tesoriere  o  cassiere</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attraverso  ordinativi  informatici  emessi   secondo   lo   standard</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Ordinativo Informatico, di cui al comma 8-bis dell'articolo 14  della</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legge 31 dicembre 2009, n. 196, l'obbligo  del  presente  adempimento</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permane fino alla chiusura dell'esercizio  nel  corso  del  quale  il</w:t>
      </w:r>
    </w:p>
    <w:p w:rsidR="00F40DC8" w:rsidRPr="003E549F" w:rsidRDefault="00F40DC8" w:rsidP="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444444"/>
          <w:sz w:val="19"/>
          <w:szCs w:val="19"/>
          <w:lang w:eastAsia="it-IT"/>
        </w:rPr>
      </w:pPr>
      <w:r w:rsidRPr="003E549F">
        <w:rPr>
          <w:rFonts w:eastAsia="Times New Roman" w:cs="Courier New"/>
          <w:color w:val="444444"/>
          <w:sz w:val="19"/>
          <w:szCs w:val="19"/>
          <w:lang w:eastAsia="it-IT"/>
        </w:rPr>
        <w:t xml:space="preserve">predetto standard viene adottato. </w:t>
      </w:r>
    </w:p>
    <w:p w:rsidR="00F40DC8" w:rsidRPr="003E549F" w:rsidRDefault="00F40DC8" w:rsidP="00F40DC8">
      <w:pPr>
        <w:pStyle w:val="Paragrafoelenco"/>
      </w:pPr>
    </w:p>
    <w:p w:rsidR="00C144CC" w:rsidRPr="00C144CC" w:rsidRDefault="00C144CC" w:rsidP="00C144CC">
      <w:pPr>
        <w:shd w:val="clear" w:color="auto" w:fill="FFFFFF"/>
        <w:spacing w:before="182" w:after="182" w:line="240" w:lineRule="auto"/>
        <w:ind w:firstLine="121"/>
        <w:rPr>
          <w:rFonts w:eastAsia="Times New Roman" w:cs="Arial"/>
          <w:color w:val="444444"/>
          <w:sz w:val="17"/>
          <w:szCs w:val="17"/>
          <w:lang w:eastAsia="it-IT"/>
        </w:rPr>
      </w:pPr>
      <w:r w:rsidRPr="00C144CC">
        <w:rPr>
          <w:rFonts w:eastAsia="Times New Roman" w:cs="Arial"/>
          <w:color w:val="444444"/>
          <w:sz w:val="17"/>
          <w:szCs w:val="17"/>
          <w:lang w:eastAsia="it-IT"/>
        </w:rPr>
        <w:t>Dalla voce di menu “Ricognizione debiti &gt; Comunicazione debiti L. 145/2018, per il ruolo di Responsabile di ciascuna Amministrazione debitrice la funzionalità consente:</w:t>
      </w:r>
    </w:p>
    <w:p w:rsidR="00C144CC" w:rsidRPr="00C144CC" w:rsidRDefault="00C144CC" w:rsidP="00C144CC">
      <w:pPr>
        <w:numPr>
          <w:ilvl w:val="0"/>
          <w:numId w:val="5"/>
        </w:numPr>
        <w:shd w:val="clear" w:color="auto" w:fill="FFFFFF"/>
        <w:spacing w:after="61" w:line="277" w:lineRule="atLeast"/>
        <w:ind w:left="0"/>
        <w:rPr>
          <w:rFonts w:eastAsia="Times New Roman" w:cs="Arial"/>
          <w:color w:val="666666"/>
          <w:sz w:val="17"/>
          <w:szCs w:val="17"/>
          <w:lang w:eastAsia="it-IT"/>
        </w:rPr>
      </w:pPr>
      <w:r w:rsidRPr="00C144CC">
        <w:rPr>
          <w:rFonts w:eastAsia="Times New Roman" w:cs="Arial"/>
          <w:color w:val="666666"/>
          <w:sz w:val="17"/>
          <w:szCs w:val="17"/>
          <w:lang w:eastAsia="it-IT"/>
        </w:rPr>
        <w:t>l'inserimento e la modifica dell'importo complessivo del debito scaduto e non pagato degli uffici di competenza con possibilità di inserire una nota e/o di selezionare la presenza di una eventuale gestione commissariale;</w:t>
      </w:r>
    </w:p>
    <w:p w:rsidR="00C144CC" w:rsidRPr="00C144CC" w:rsidRDefault="00C144CC" w:rsidP="00C144CC">
      <w:pPr>
        <w:numPr>
          <w:ilvl w:val="0"/>
          <w:numId w:val="5"/>
        </w:numPr>
        <w:shd w:val="clear" w:color="auto" w:fill="FFFFFF"/>
        <w:spacing w:after="61" w:line="277" w:lineRule="atLeast"/>
        <w:ind w:left="0"/>
        <w:rPr>
          <w:rFonts w:eastAsia="Times New Roman" w:cs="Arial"/>
          <w:color w:val="666666"/>
          <w:sz w:val="17"/>
          <w:szCs w:val="17"/>
          <w:lang w:eastAsia="it-IT"/>
        </w:rPr>
      </w:pPr>
      <w:r w:rsidRPr="00C144CC">
        <w:rPr>
          <w:rFonts w:eastAsia="Times New Roman" w:cs="Arial"/>
          <w:color w:val="666666"/>
          <w:sz w:val="17"/>
          <w:szCs w:val="17"/>
          <w:lang w:eastAsia="it-IT"/>
        </w:rPr>
        <w:t>la visualizzazione dello stock del debito scaduto e non pagato cumulativo degli enti di competenza rilevato da PCC;</w:t>
      </w:r>
    </w:p>
    <w:p w:rsidR="00C144CC" w:rsidRPr="00C144CC" w:rsidRDefault="00C144CC" w:rsidP="00C144CC">
      <w:pPr>
        <w:numPr>
          <w:ilvl w:val="0"/>
          <w:numId w:val="5"/>
        </w:numPr>
        <w:shd w:val="clear" w:color="auto" w:fill="FFFFFF"/>
        <w:spacing w:after="61" w:line="277" w:lineRule="atLeast"/>
        <w:ind w:left="0"/>
        <w:rPr>
          <w:rFonts w:eastAsia="Times New Roman" w:cs="Arial"/>
          <w:color w:val="666666"/>
          <w:sz w:val="17"/>
          <w:szCs w:val="17"/>
          <w:lang w:eastAsia="it-IT"/>
        </w:rPr>
      </w:pPr>
      <w:r w:rsidRPr="00C144CC">
        <w:rPr>
          <w:rFonts w:eastAsia="Times New Roman" w:cs="Arial"/>
          <w:color w:val="666666"/>
          <w:sz w:val="17"/>
          <w:szCs w:val="17"/>
          <w:lang w:eastAsia="it-IT"/>
        </w:rPr>
        <w:t>il riepilogo dettagliato dello stock del debito scaduto e non pagato per singolo documento, scaricabile tramite tasto " Scarica dettaglio", rilevato da PCC.</w:t>
      </w:r>
    </w:p>
    <w:p w:rsidR="00C144CC" w:rsidRPr="00C144CC" w:rsidRDefault="00C144CC" w:rsidP="00C144CC">
      <w:pPr>
        <w:shd w:val="clear" w:color="auto" w:fill="FFFFFF"/>
        <w:spacing w:before="182" w:after="182" w:line="240" w:lineRule="auto"/>
        <w:ind w:firstLine="121"/>
        <w:rPr>
          <w:rFonts w:eastAsia="Times New Roman" w:cs="Arial"/>
          <w:color w:val="444444"/>
          <w:sz w:val="17"/>
          <w:szCs w:val="17"/>
          <w:lang w:eastAsia="it-IT"/>
        </w:rPr>
      </w:pPr>
      <w:r w:rsidRPr="00C144CC">
        <w:rPr>
          <w:rFonts w:eastAsia="Times New Roman" w:cs="Arial"/>
          <w:color w:val="444444"/>
          <w:sz w:val="17"/>
          <w:szCs w:val="17"/>
          <w:lang w:eastAsia="it-IT"/>
        </w:rPr>
        <w:t>Inoltre, nella sezione dedicata al riepilogo dei dati sono state pubblicate le Regole per il calcolo dell’importo scaduto rilevato da PCC e il collegamento diretto alla comunicazione eventualmente fatta sul sistema nel mese di gennaio delle fatture scadute e non pagate al mese precedente.</w:t>
      </w:r>
    </w:p>
    <w:p w:rsidR="00C144CC" w:rsidRPr="003E549F" w:rsidRDefault="00C144CC" w:rsidP="00F40DC8">
      <w:pPr>
        <w:pStyle w:val="Paragrafoelenco"/>
      </w:pPr>
    </w:p>
    <w:p w:rsidR="000F2450" w:rsidRPr="003E549F" w:rsidRDefault="000F2450" w:rsidP="0071750D">
      <w:pPr>
        <w:pStyle w:val="Paragrafoelenco"/>
        <w:numPr>
          <w:ilvl w:val="0"/>
          <w:numId w:val="3"/>
        </w:numPr>
      </w:pPr>
      <w:r w:rsidRPr="003E549F">
        <w:t>ADEMPIMENTO AVCP 31/01/2020</w:t>
      </w:r>
    </w:p>
    <w:p w:rsidR="00C83E39" w:rsidRPr="003E549F" w:rsidRDefault="00C83E39" w:rsidP="0071750D">
      <w:pPr>
        <w:pStyle w:val="Paragrafoelenco"/>
        <w:numPr>
          <w:ilvl w:val="0"/>
          <w:numId w:val="3"/>
        </w:numPr>
      </w:pPr>
      <w:r w:rsidRPr="003E549F">
        <w:t>Raccolta F24ep</w:t>
      </w:r>
    </w:p>
    <w:p w:rsidR="00C83E39" w:rsidRPr="003E549F" w:rsidRDefault="00C83E39" w:rsidP="0071750D">
      <w:pPr>
        <w:pStyle w:val="Paragrafoelenco"/>
        <w:numPr>
          <w:ilvl w:val="0"/>
          <w:numId w:val="3"/>
        </w:numPr>
      </w:pPr>
      <w:r w:rsidRPr="003E549F">
        <w:t>Raccolta IVA versata</w:t>
      </w:r>
    </w:p>
    <w:p w:rsidR="00C83E39" w:rsidRPr="003E549F" w:rsidRDefault="00C83E39" w:rsidP="0071750D">
      <w:pPr>
        <w:pStyle w:val="Paragrafoelenco"/>
        <w:numPr>
          <w:ilvl w:val="0"/>
          <w:numId w:val="3"/>
        </w:numPr>
      </w:pPr>
      <w:r w:rsidRPr="003E549F">
        <w:t>Raccolta UNIEMENS trasmessi</w:t>
      </w:r>
    </w:p>
    <w:p w:rsidR="005E2BB2" w:rsidRPr="003E549F" w:rsidRDefault="005E2BB2" w:rsidP="0071750D">
      <w:pPr>
        <w:pStyle w:val="Paragrafoelenco"/>
        <w:numPr>
          <w:ilvl w:val="0"/>
          <w:numId w:val="3"/>
        </w:numPr>
      </w:pPr>
      <w:r w:rsidRPr="003E549F">
        <w:t xml:space="preserve">Verifica contributi gestione gara MAV ANAC </w:t>
      </w:r>
      <w:hyperlink r:id="rId9" w:history="1">
        <w:r w:rsidRPr="003E549F">
          <w:rPr>
            <w:rStyle w:val="Collegamentoipertestuale"/>
          </w:rPr>
          <w:t>http://www.anticorruzione.it/portal/public/classic/Servizi/ServiziOnline/ServizioRiscossioneContributi</w:t>
        </w:r>
      </w:hyperlink>
    </w:p>
    <w:p w:rsidR="00C75761" w:rsidRPr="003E549F" w:rsidRDefault="00044AA4" w:rsidP="00BB06A4">
      <w:pPr>
        <w:shd w:val="clear" w:color="auto" w:fill="F9F9F9"/>
        <w:spacing w:before="100" w:beforeAutospacing="1" w:after="100" w:afterAutospacing="1" w:line="240" w:lineRule="auto"/>
        <w:jc w:val="both"/>
      </w:pPr>
      <w:r w:rsidRPr="003E549F">
        <w:t>4.1 Stazione appaltante ed ente aggiudicatore</w:t>
      </w:r>
      <w:r w:rsidRPr="003E549F">
        <w:br/>
        <w:t xml:space="preserve">Il Responsabile Unico del Procedimento (RUP), di cui all’art. 10, commi 1 e 9, del Codice, della stazione appaltante e dell’ente aggiudicatore, di cui agli artt. 32 e 207 del Codice, che intende avviare una procedura finalizzata alla realizzazione di lavori ovvero all'acquisizione di servizi e forniture, deve registrarsi al Sistema </w:t>
      </w:r>
      <w:r w:rsidRPr="003E549F">
        <w:lastRenderedPageBreak/>
        <w:t>Informativo di Monitoraggio delle Gare (SIMOG), disponibile nell’area Servizi del sito dell'Autorità, come stabilito dal </w:t>
      </w:r>
      <w:hyperlink r:id="rId10" w:history="1">
        <w:r w:rsidRPr="003E549F">
          <w:t>Comunicato del Presidente dell’Autorità del 7 settembre 2010</w:t>
        </w:r>
      </w:hyperlink>
      <w:r w:rsidRPr="003E549F">
        <w:t> Il SIMOG attribuisce ad ogni nuova procedura comunicata dal RUP un numero identificativo univoco, denominato “numero gara”: il RUP deve provvedere all’inserimento dei lotti (o dell’unico lotto) che compongono la procedura. A ciascun lotto il SIMOG attribuisce un Codice Identificativo Gara, denominato “CIG”, e determina l’importo dell’eventuale contribuzione a carico dell’operatore economico che intende partecipare alla procedura di scelta del contraente. Dopo aver perfezionato tutti i CIG, il sistema determina automaticamente l’importo complessivo della gara, quale sommatoria dei valori dei singoli lotti, e determina l’importo dell’eventuale contribuzione a carico della stazione appaltante.</w:t>
      </w:r>
    </w:p>
    <w:p w:rsidR="00044AA4" w:rsidRPr="003E549F" w:rsidRDefault="00044AA4" w:rsidP="00BB06A4">
      <w:pPr>
        <w:shd w:val="clear" w:color="auto" w:fill="F9F9F9"/>
        <w:spacing w:before="100" w:beforeAutospacing="1" w:after="100" w:afterAutospacing="1" w:line="240" w:lineRule="auto"/>
        <w:jc w:val="both"/>
      </w:pPr>
      <w:r w:rsidRPr="003E549F">
        <w:t>La stazione appaltante è tenuta a riportare il CIG e a richiamare le presenti istruzioni operative nell'avviso pubblico, nella lettera di invito o nella richiesta di offerta comunque denominata.</w:t>
      </w:r>
      <w:r w:rsidRPr="003E549F">
        <w:br/>
        <w:t>Con cadenza quadrimestrale l’Autorità rende disponibile, tramite il servizio </w:t>
      </w:r>
      <w:hyperlink r:id="rId11" w:history="1">
        <w:r w:rsidRPr="003E549F">
          <w:t>Gestione Contributi Gara</w:t>
        </w:r>
      </w:hyperlink>
      <w:r w:rsidRPr="003E549F">
        <w:t> (GCG), un bollettino MAV (Pagamento Mediante Avviso) intestato alla stazione appaltante ovvero, ove richiesto, al singolo centro di costo, per un importo pari alla somma dei valori dei contributi dovuti per ciascun “numero gara” assegnato dal SIMOG nel quadrimestre di riferimento (1 gennaio-30 aprile; 1 maggio-31 agosto; 1 settembre-31 dicembre).</w:t>
      </w:r>
      <w:r w:rsidRPr="003E549F">
        <w:br/>
        <w:t>La stazione appaltante è tenuta al versamento della contribuzione entro la scadenza indicata nel bollettino MAV. Il mancato pagamento della contribuzione comporta l’avvio della procedura di riscossione coattiva, mediante ruolo, delle somme non versate sulle quali saranno dovute, oltre agli interessi legali, le maggiori somme ai sensi della normativa vigente.</w:t>
      </w:r>
      <w:r w:rsidRPr="003E549F">
        <w:br/>
        <w:t>Per eseguire il versamento del contributo:</w:t>
      </w:r>
    </w:p>
    <w:p w:rsidR="00044AA4" w:rsidRPr="003E549F" w:rsidRDefault="00044AA4" w:rsidP="00BB06A4">
      <w:pPr>
        <w:numPr>
          <w:ilvl w:val="0"/>
          <w:numId w:val="3"/>
        </w:numPr>
        <w:shd w:val="clear" w:color="auto" w:fill="F9F9F9"/>
        <w:spacing w:before="100" w:beforeAutospacing="1" w:after="100" w:afterAutospacing="1" w:line="240" w:lineRule="auto"/>
        <w:jc w:val="both"/>
      </w:pPr>
      <w:r w:rsidRPr="003E549F">
        <w:t>registrarsi come utente dei servizi dell’Autorità secondo le modalità descritte nella sezione </w:t>
      </w:r>
      <w:hyperlink r:id="rId12" w:history="1">
        <w:r w:rsidRPr="003E549F">
          <w:t>Registrazione e Profilazione Utenti;</w:t>
        </w:r>
      </w:hyperlink>
    </w:p>
    <w:p w:rsidR="00044AA4" w:rsidRPr="003E549F" w:rsidRDefault="00044AA4" w:rsidP="00BB06A4">
      <w:pPr>
        <w:numPr>
          <w:ilvl w:val="0"/>
          <w:numId w:val="3"/>
        </w:numPr>
        <w:shd w:val="clear" w:color="auto" w:fill="F9F9F9"/>
        <w:spacing w:before="100" w:beforeAutospacing="1" w:after="100" w:afterAutospacing="1" w:line="240" w:lineRule="auto"/>
        <w:jc w:val="both"/>
      </w:pPr>
      <w:r w:rsidRPr="003E549F">
        <w:t>richiedere il profilo di “contribuente” associato al soggetto rappresentato “stazione appaltante” dalla </w:t>
      </w:r>
      <w:hyperlink r:id="rId13" w:tgtFrame="_blank" w:tooltip="pagina di creazione profili." w:history="1">
        <w:r w:rsidRPr="003E549F">
          <w:t>pagina di creazione profili</w:t>
        </w:r>
      </w:hyperlink>
      <w:r w:rsidRPr="003E549F">
        <w:t>;</w:t>
      </w:r>
    </w:p>
    <w:p w:rsidR="00044AA4" w:rsidRPr="003E549F" w:rsidRDefault="00044AA4" w:rsidP="00BB06A4">
      <w:pPr>
        <w:numPr>
          <w:ilvl w:val="0"/>
          <w:numId w:val="3"/>
        </w:numPr>
        <w:shd w:val="clear" w:color="auto" w:fill="F9F9F9"/>
        <w:spacing w:before="100" w:beforeAutospacing="1" w:after="100" w:afterAutospacing="1" w:line="240" w:lineRule="auto"/>
        <w:jc w:val="both"/>
      </w:pPr>
      <w:r w:rsidRPr="003E549F">
        <w:t>accedere al servizio </w:t>
      </w:r>
      <w:hyperlink r:id="rId14" w:history="1">
        <w:r w:rsidRPr="003E549F">
          <w:t>Gestione Contributi Gara</w:t>
        </w:r>
      </w:hyperlink>
      <w:r w:rsidRPr="003E549F">
        <w:t> (GCG);</w:t>
      </w:r>
    </w:p>
    <w:p w:rsidR="00044AA4" w:rsidRPr="003E549F" w:rsidRDefault="00044AA4" w:rsidP="00BB06A4">
      <w:pPr>
        <w:numPr>
          <w:ilvl w:val="0"/>
          <w:numId w:val="3"/>
        </w:numPr>
        <w:shd w:val="clear" w:color="auto" w:fill="F9F9F9"/>
        <w:spacing w:before="100" w:beforeAutospacing="1" w:after="100" w:afterAutospacing="1" w:line="240" w:lineRule="auto"/>
        <w:jc w:val="both"/>
      </w:pPr>
      <w:r w:rsidRPr="003E549F">
        <w:t>stampare il bollettino MAV e procedere tramite le consuete modalità di pagamento di un MAV, ad esempio presso ogni sportello bancario o postale.</w:t>
      </w:r>
    </w:p>
    <w:p w:rsidR="00044AA4" w:rsidRPr="003E549F" w:rsidRDefault="00044AA4" w:rsidP="00BB06A4">
      <w:pPr>
        <w:pStyle w:val="Paragrafoelenco"/>
        <w:jc w:val="both"/>
      </w:pPr>
      <w:bookmarkStart w:id="0" w:name="_GoBack"/>
      <w:bookmarkEnd w:id="0"/>
    </w:p>
    <w:p w:rsidR="00C83E39" w:rsidRPr="003E549F" w:rsidRDefault="00C83E39" w:rsidP="005E2BB2">
      <w:pPr>
        <w:pStyle w:val="Paragrafoelenco"/>
      </w:pPr>
    </w:p>
    <w:sectPr w:rsidR="00C83E39" w:rsidRPr="003E549F" w:rsidSect="00650422">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A0" w:rsidRDefault="00AB4AA0" w:rsidP="00AB4AA0">
      <w:pPr>
        <w:spacing w:after="0" w:line="240" w:lineRule="auto"/>
      </w:pPr>
      <w:r>
        <w:separator/>
      </w:r>
    </w:p>
  </w:endnote>
  <w:endnote w:type="continuationSeparator" w:id="0">
    <w:p w:rsidR="00AB4AA0" w:rsidRDefault="00AB4AA0" w:rsidP="00AB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5602487"/>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AB4AA0" w:rsidRDefault="00F55E4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2e74b5 [2404]" stroked="f">
                  <v:textbox>
                    <w:txbxContent>
                      <w:p w:rsidR="00AB4AA0" w:rsidRDefault="00F55E42">
                        <w:pPr>
                          <w:pStyle w:val="Pidipagina"/>
                          <w:jc w:val="center"/>
                          <w:rPr>
                            <w:b/>
                            <w:color w:val="FFFFFF" w:themeColor="background1"/>
                            <w:sz w:val="32"/>
                            <w:szCs w:val="32"/>
                          </w:rPr>
                        </w:pPr>
                        <w:fldSimple w:instr=" PAGE    \* MERGEFORMAT ">
                          <w:r w:rsidR="008C05ED" w:rsidRPr="008C05ED">
                            <w:rPr>
                              <w:b/>
                              <w:noProof/>
                              <w:color w:val="FFFFFF" w:themeColor="background1"/>
                              <w:sz w:val="32"/>
                              <w:szCs w:val="32"/>
                            </w:rPr>
                            <w:t>1</w:t>
                          </w:r>
                        </w:fldSimple>
                      </w:p>
                    </w:txbxContent>
                  </v:textbox>
                  <w10:wrap anchorx="margin" anchory="page"/>
                </v:oval>
              </w:pict>
            </w:r>
          </w:p>
        </w:sdtContent>
      </w:sdt>
    </w:sdtContent>
  </w:sdt>
  <w:p w:rsidR="00AB4AA0" w:rsidRDefault="00AB4A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A0" w:rsidRDefault="00AB4AA0" w:rsidP="00AB4AA0">
      <w:pPr>
        <w:spacing w:after="0" w:line="240" w:lineRule="auto"/>
      </w:pPr>
      <w:r>
        <w:separator/>
      </w:r>
    </w:p>
  </w:footnote>
  <w:footnote w:type="continuationSeparator" w:id="0">
    <w:p w:rsidR="00AB4AA0" w:rsidRDefault="00AB4AA0" w:rsidP="00AB4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149"/>
    <w:multiLevelType w:val="hybridMultilevel"/>
    <w:tmpl w:val="92822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2B7B5A"/>
    <w:multiLevelType w:val="multilevel"/>
    <w:tmpl w:val="0E0C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A2CDB"/>
    <w:multiLevelType w:val="multilevel"/>
    <w:tmpl w:val="36A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860AE"/>
    <w:multiLevelType w:val="hybridMultilevel"/>
    <w:tmpl w:val="6E182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A10958"/>
    <w:multiLevelType w:val="hybridMultilevel"/>
    <w:tmpl w:val="562C6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A2969"/>
    <w:rsid w:val="00020704"/>
    <w:rsid w:val="00044AA4"/>
    <w:rsid w:val="00057CB9"/>
    <w:rsid w:val="00072BC8"/>
    <w:rsid w:val="000B700E"/>
    <w:rsid w:val="000C45B9"/>
    <w:rsid w:val="000F2450"/>
    <w:rsid w:val="0015048A"/>
    <w:rsid w:val="00154D0A"/>
    <w:rsid w:val="001A7B35"/>
    <w:rsid w:val="001F76CA"/>
    <w:rsid w:val="002206C4"/>
    <w:rsid w:val="00287C77"/>
    <w:rsid w:val="002B14CD"/>
    <w:rsid w:val="00312A2B"/>
    <w:rsid w:val="00380B23"/>
    <w:rsid w:val="00385431"/>
    <w:rsid w:val="003E549F"/>
    <w:rsid w:val="00482C73"/>
    <w:rsid w:val="004E6774"/>
    <w:rsid w:val="005E2BB2"/>
    <w:rsid w:val="00650422"/>
    <w:rsid w:val="007E5F3D"/>
    <w:rsid w:val="007F29E3"/>
    <w:rsid w:val="00805029"/>
    <w:rsid w:val="0084383E"/>
    <w:rsid w:val="00866B57"/>
    <w:rsid w:val="008A3935"/>
    <w:rsid w:val="008C05ED"/>
    <w:rsid w:val="008D6CAB"/>
    <w:rsid w:val="00991C40"/>
    <w:rsid w:val="00996651"/>
    <w:rsid w:val="00996E43"/>
    <w:rsid w:val="009D32F0"/>
    <w:rsid w:val="009D6747"/>
    <w:rsid w:val="00A724DD"/>
    <w:rsid w:val="00A73A80"/>
    <w:rsid w:val="00A76D44"/>
    <w:rsid w:val="00AA2969"/>
    <w:rsid w:val="00AB4AA0"/>
    <w:rsid w:val="00B26F70"/>
    <w:rsid w:val="00BB06A4"/>
    <w:rsid w:val="00BE5114"/>
    <w:rsid w:val="00C026A1"/>
    <w:rsid w:val="00C144CC"/>
    <w:rsid w:val="00C179D4"/>
    <w:rsid w:val="00C75761"/>
    <w:rsid w:val="00C8124F"/>
    <w:rsid w:val="00C83E39"/>
    <w:rsid w:val="00C91FFA"/>
    <w:rsid w:val="00D81253"/>
    <w:rsid w:val="00E14994"/>
    <w:rsid w:val="00E51336"/>
    <w:rsid w:val="00E70F78"/>
    <w:rsid w:val="00EE3CF5"/>
    <w:rsid w:val="00EF69EE"/>
    <w:rsid w:val="00F063C2"/>
    <w:rsid w:val="00F40DC8"/>
    <w:rsid w:val="00F55E42"/>
    <w:rsid w:val="00F6494F"/>
    <w:rsid w:val="00F74D52"/>
    <w:rsid w:val="00FD3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2969"/>
    <w:pPr>
      <w:ind w:left="720"/>
      <w:contextualSpacing/>
    </w:pPr>
  </w:style>
  <w:style w:type="character" w:styleId="Collegamentoipertestuale">
    <w:name w:val="Hyperlink"/>
    <w:basedOn w:val="Carpredefinitoparagrafo"/>
    <w:uiPriority w:val="99"/>
    <w:semiHidden/>
    <w:unhideWhenUsed/>
    <w:rsid w:val="005E2BB2"/>
    <w:rPr>
      <w:color w:val="0000FF"/>
      <w:u w:val="single"/>
    </w:rPr>
  </w:style>
  <w:style w:type="paragraph" w:styleId="NormaleWeb">
    <w:name w:val="Normal (Web)"/>
    <w:basedOn w:val="Normale"/>
    <w:uiPriority w:val="99"/>
    <w:semiHidden/>
    <w:unhideWhenUsed/>
    <w:rsid w:val="00044A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44AA4"/>
    <w:rPr>
      <w:b/>
      <w:bCs/>
    </w:rPr>
  </w:style>
  <w:style w:type="paragraph" w:styleId="PreformattatoHTML">
    <w:name w:val="HTML Preformatted"/>
    <w:basedOn w:val="Normale"/>
    <w:link w:val="PreformattatoHTMLCarattere"/>
    <w:uiPriority w:val="99"/>
    <w:semiHidden/>
    <w:unhideWhenUsed/>
    <w:rsid w:val="00F4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40DC8"/>
    <w:rPr>
      <w:rFonts w:ascii="Courier New" w:eastAsia="Times New Roman" w:hAnsi="Courier New" w:cs="Courier New"/>
      <w:sz w:val="20"/>
      <w:szCs w:val="20"/>
      <w:lang w:eastAsia="it-IT"/>
    </w:rPr>
  </w:style>
  <w:style w:type="paragraph" w:styleId="Intestazione">
    <w:name w:val="header"/>
    <w:basedOn w:val="Normale"/>
    <w:link w:val="IntestazioneCarattere"/>
    <w:uiPriority w:val="99"/>
    <w:semiHidden/>
    <w:unhideWhenUsed/>
    <w:rsid w:val="00AB4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4AA0"/>
  </w:style>
  <w:style w:type="paragraph" w:styleId="Pidipagina">
    <w:name w:val="footer"/>
    <w:basedOn w:val="Normale"/>
    <w:link w:val="PidipaginaCarattere"/>
    <w:uiPriority w:val="99"/>
    <w:unhideWhenUsed/>
    <w:rsid w:val="00AB4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AA0"/>
  </w:style>
</w:styles>
</file>

<file path=word/webSettings.xml><?xml version="1.0" encoding="utf-8"?>
<w:webSettings xmlns:r="http://schemas.openxmlformats.org/officeDocument/2006/relationships" xmlns:w="http://schemas.openxmlformats.org/wordprocessingml/2006/main">
  <w:divs>
    <w:div w:id="492843726">
      <w:bodyDiv w:val="1"/>
      <w:marLeft w:val="0"/>
      <w:marRight w:val="0"/>
      <w:marTop w:val="0"/>
      <w:marBottom w:val="0"/>
      <w:divBdr>
        <w:top w:val="none" w:sz="0" w:space="0" w:color="auto"/>
        <w:left w:val="none" w:sz="0" w:space="0" w:color="auto"/>
        <w:bottom w:val="none" w:sz="0" w:space="0" w:color="auto"/>
        <w:right w:val="none" w:sz="0" w:space="0" w:color="auto"/>
      </w:divBdr>
    </w:div>
    <w:div w:id="931624097">
      <w:bodyDiv w:val="1"/>
      <w:marLeft w:val="0"/>
      <w:marRight w:val="0"/>
      <w:marTop w:val="0"/>
      <w:marBottom w:val="0"/>
      <w:divBdr>
        <w:top w:val="none" w:sz="0" w:space="0" w:color="auto"/>
        <w:left w:val="none" w:sz="0" w:space="0" w:color="auto"/>
        <w:bottom w:val="none" w:sz="0" w:space="0" w:color="auto"/>
        <w:right w:val="none" w:sz="0" w:space="0" w:color="auto"/>
      </w:divBdr>
    </w:div>
    <w:div w:id="1378160958">
      <w:bodyDiv w:val="1"/>
      <w:marLeft w:val="0"/>
      <w:marRight w:val="0"/>
      <w:marTop w:val="0"/>
      <w:marBottom w:val="0"/>
      <w:divBdr>
        <w:top w:val="none" w:sz="0" w:space="0" w:color="auto"/>
        <w:left w:val="none" w:sz="0" w:space="0" w:color="auto"/>
        <w:bottom w:val="none" w:sz="0" w:space="0" w:color="auto"/>
        <w:right w:val="none" w:sz="0" w:space="0" w:color="auto"/>
      </w:divBdr>
    </w:div>
    <w:div w:id="17365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icommerciali.mef.gov.it/CreditiCommerciali/home.xhtml" TargetMode="External"/><Relationship Id="rId13" Type="http://schemas.openxmlformats.org/officeDocument/2006/relationships/hyperlink" Target="https://servizi.anticorruzione.it/portal/classic/GestioneProfilo/CreaProfi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corruzione.it/portal/public/classic/Servizi/ServiziOnline/_RegistrazioneProfilazio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anticorruzione.it/hub-gc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ticorruzione.it/portal/public/classic/AttivitaAutorita/AttiDellAutorita/_Atto?ca=4340" TargetMode="External"/><Relationship Id="rId4" Type="http://schemas.openxmlformats.org/officeDocument/2006/relationships/settings" Target="settings.xml"/><Relationship Id="rId9" Type="http://schemas.openxmlformats.org/officeDocument/2006/relationships/hyperlink" Target="http://www.anticorruzione.it/portal/public/classic/Servizi/ServiziOnline/ServizioRiscossioneContributi" TargetMode="External"/><Relationship Id="rId14" Type="http://schemas.openxmlformats.org/officeDocument/2006/relationships/hyperlink" Target="https://servizi.anticorruzione.it/hub-gc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9C55-DF7D-4E17-A57E-1B99EECF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1296</Words>
  <Characters>7389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Botti</dc:creator>
  <cp:keywords/>
  <dc:description/>
  <cp:lastModifiedBy>marina.delturco</cp:lastModifiedBy>
  <cp:revision>56</cp:revision>
  <dcterms:created xsi:type="dcterms:W3CDTF">2019-11-26T17:10:00Z</dcterms:created>
  <dcterms:modified xsi:type="dcterms:W3CDTF">2019-12-03T10:17:00Z</dcterms:modified>
</cp:coreProperties>
</file>